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B97FC" w14:textId="74F7AEE6" w:rsidR="004151B1" w:rsidRDefault="004151B1" w:rsidP="004151B1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Załącznik Nr 1 do oferty z dnia …………………</w:t>
      </w:r>
      <w:r w:rsidR="00F5102F">
        <w:rPr>
          <w:rFonts w:cstheme="minorHAnsi"/>
          <w:b/>
          <w:bCs/>
        </w:rPr>
        <w:t>…</w:t>
      </w:r>
      <w:r>
        <w:rPr>
          <w:rFonts w:cstheme="minorHAnsi"/>
          <w:b/>
          <w:bCs/>
        </w:rPr>
        <w:t>..</w:t>
      </w:r>
    </w:p>
    <w:p w14:paraId="27B4ADB2" w14:textId="77777777" w:rsidR="00B6098B" w:rsidRDefault="00B6098B" w:rsidP="004151B1">
      <w:pPr>
        <w:jc w:val="right"/>
        <w:rPr>
          <w:rFonts w:cstheme="minorHAnsi"/>
          <w:b/>
          <w:bCs/>
        </w:rPr>
      </w:pPr>
    </w:p>
    <w:p w14:paraId="73D4BC4F" w14:textId="7D04EBC2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Podziału wynagrodzenia należnego lekarzom Kliniki Kardiologii z Intensywnym Nadzorem Kardiologicznym oraz Pracowni Elektrofizjologii, Pracowni Hemodynamiki i Poradni Kardiologicznej za realizację świadczeń zdrowotnych, o których mowa w § 1 umowy dokonuje Lekarz Kierujący Kliniką Kardiologii z Intensywnym Nadzorem Kardiologicznym lub jego zastępca w przypadku nieobecności lekarza kierującego.</w:t>
      </w:r>
    </w:p>
    <w:p w14:paraId="434905C1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Podstawą do wyliczenia wynagrodzenia, o którym mowa w pkt 1, należnego w każdym roku obowiązywania niniejszej umowy jest:</w:t>
      </w:r>
    </w:p>
    <w:p w14:paraId="636E9C0C" w14:textId="43C82C24" w:rsidR="004151B1" w:rsidRDefault="004151B1" w:rsidP="004151B1">
      <w:pPr>
        <w:pStyle w:val="Akapitzlist"/>
        <w:numPr>
          <w:ilvl w:val="0"/>
          <w:numId w:val="2"/>
        </w:numPr>
        <w:spacing w:after="0" w:line="24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 xml:space="preserve">20% od kwoty przyznanego ryczałtu na hospitalizację tj. </w:t>
      </w:r>
      <w:r>
        <w:rPr>
          <w:rFonts w:cstheme="minorHAnsi"/>
          <w:b/>
          <w:i/>
        </w:rPr>
        <w:t xml:space="preserve">od kwoty 3 852 241,42 zł, </w:t>
      </w:r>
    </w:p>
    <w:p w14:paraId="25655785" w14:textId="78A2D273" w:rsidR="004151B1" w:rsidRDefault="004151B1" w:rsidP="004151B1">
      <w:pPr>
        <w:pStyle w:val="Akapitzlist"/>
        <w:numPr>
          <w:ilvl w:val="0"/>
          <w:numId w:val="2"/>
        </w:numPr>
        <w:spacing w:after="0" w:line="24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>13% od wartości wykonanych i sprzedanych świadczeń w ramach kardiologicznej opieki po zawale serca „KOS-zawał” (hospitalizacja) – ze względu na rozliczenia z NFZ dane do rozliczenia przekazywane będą z miesięcznym opóźnieniem,</w:t>
      </w:r>
    </w:p>
    <w:p w14:paraId="3BDB5705" w14:textId="098F2570" w:rsidR="004151B1" w:rsidRDefault="004151B1" w:rsidP="004151B1">
      <w:pPr>
        <w:pStyle w:val="Akapitzlist"/>
        <w:numPr>
          <w:ilvl w:val="0"/>
          <w:numId w:val="2"/>
        </w:numPr>
        <w:spacing w:after="0" w:line="24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>13% od wartości wykonanych i sprzedanych świadczeń w ramach ostrego zawału serca,</w:t>
      </w:r>
    </w:p>
    <w:p w14:paraId="68A61C27" w14:textId="77777777" w:rsidR="004151B1" w:rsidRDefault="004151B1" w:rsidP="004151B1">
      <w:pPr>
        <w:pStyle w:val="Akapitzlist"/>
        <w:numPr>
          <w:ilvl w:val="0"/>
          <w:numId w:val="2"/>
        </w:numPr>
        <w:spacing w:after="0" w:line="240" w:lineRule="auto"/>
        <w:ind w:hanging="357"/>
        <w:jc w:val="both"/>
        <w:rPr>
          <w:rFonts w:cstheme="minorHAnsi"/>
        </w:rPr>
      </w:pPr>
      <w:r>
        <w:rPr>
          <w:rFonts w:cstheme="minorHAnsi"/>
        </w:rPr>
        <w:t xml:space="preserve">50% wartości wykonanych i sprzedanych świadczeń ambulatoryjnych, w tym w ramach KOS i programów lekowych (tylko porada ambulatoryjna) – ze względu na rozliczenia z NFZ dane do rozliczenia programów lekowych przekazywane będą z miesięcznym opóźnieniem. </w:t>
      </w:r>
    </w:p>
    <w:p w14:paraId="4792ECFE" w14:textId="5A48376F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 świadczenia „wykonane i sprzedane” Strony określają świadczenia, które zostały zaakceptowane i zapłacone przez płatnika, czyli NFZ. Rozliczenia wykonanego poziomu ryczałtu dokonuje się w cyklu kwartalnym.</w:t>
      </w:r>
    </w:p>
    <w:p w14:paraId="6A9AAA88" w14:textId="44177B25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Środki finansowe określone powyżej przeznaczone są na pokrycie wynagrodzeń należnych lekarzom kardiologom udzielających świadczeń w trybie normalnej ordynacji oraz pełniących dyżury medyczne na podstawie umowy cywilno – prawnej.</w:t>
      </w:r>
    </w:p>
    <w:p w14:paraId="4A8D1094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Lekarzom, o których mowa powyżej, przysługuje wynagrodzenie z tytułu wykonania zapłaconych przez NFZ lub innego płatnika świadczeń.</w:t>
      </w:r>
    </w:p>
    <w:p w14:paraId="20C1CA32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Za świadczenia wykonane ponad ustalony przez Udzielającego zamówienia ryczałt roczny, wynagrodzenie nie przysługuje. </w:t>
      </w:r>
    </w:p>
    <w:p w14:paraId="45769E21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Koszt wynagrodzenia dla lekarza kierującego i dla zastępców lekarza kierującego z tytułu koordynacji działalności Kliniki ustala i ponosi w pełnej wysokości Udzielający zamówienia. Z tego tytułu Przyjmujący zamówienie otrzymywać będzie wynagrodzenie w wysokości </w:t>
      </w:r>
      <w:r>
        <w:rPr>
          <w:rFonts w:cstheme="minorHAnsi"/>
          <w:b/>
        </w:rPr>
        <w:t>………………</w:t>
      </w:r>
      <w:proofErr w:type="gramStart"/>
      <w:r>
        <w:rPr>
          <w:rFonts w:cstheme="minorHAnsi"/>
          <w:b/>
        </w:rPr>
        <w:t>…….</w:t>
      </w:r>
      <w:proofErr w:type="gramEnd"/>
      <w:r>
        <w:rPr>
          <w:rFonts w:cstheme="minorHAnsi"/>
          <w:b/>
        </w:rPr>
        <w:t>. zł</w:t>
      </w:r>
      <w:r>
        <w:rPr>
          <w:rFonts w:cstheme="minorHAnsi"/>
        </w:rPr>
        <w:t xml:space="preserve"> brutto miesięcznie. </w:t>
      </w:r>
    </w:p>
    <w:p w14:paraId="729D3A24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Po roku obowiązywania umowy istnieje możliwość negocjacji w zakresie poziomu środków finansowych przeznaczonych na wynagrodzenia dla lekarzy pod warunkiem korzystnych zmian w finansowaniu świadczeń przez NFZ. </w:t>
      </w:r>
    </w:p>
    <w:p w14:paraId="14CC7556" w14:textId="77777777" w:rsidR="004151B1" w:rsidRDefault="004151B1" w:rsidP="004151B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Lekarzom Kliniki Kardiologii, udzielającym świadczeń na podstawie umowy cywilno-prawnej, przysługuje dodatkowe wynagrodzenie w wysokości 12% wartości ryczałtu przesuniętego przez Udzielającego zamówienia między zakresami udzielania świadczeń w zakładzie Udzielającego zamówienia.</w:t>
      </w:r>
    </w:p>
    <w:p w14:paraId="7F439D76" w14:textId="1B7C2545" w:rsidR="004151B1" w:rsidRPr="00B6098B" w:rsidRDefault="004151B1" w:rsidP="00B6098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Limit punktowy ryczałtu miesięcznego na hospitalizację wynosi 1 965 429,30 pkt, a każda zmiana przyznanego limitu punktowego ryczałtu miesięcznego na hospitalizację wymaga formy pisemnej pod rygorem nieważności tj. aneksu do niniejszej umowy, a o zmianie wysokości limitu przyznanego ryczałtu miesięcznego na hospitalizację lekarz kierujący Kliniką zostanie powiadomiony pisemnie.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08"/>
        <w:gridCol w:w="887"/>
      </w:tblGrid>
      <w:tr w:rsidR="004151B1" w14:paraId="79B31066" w14:textId="77777777">
        <w:tc>
          <w:tcPr>
            <w:tcW w:w="4604" w:type="dxa"/>
          </w:tcPr>
          <w:p w14:paraId="14A5C609" w14:textId="77777777" w:rsidR="004151B1" w:rsidRDefault="004151B1">
            <w:pPr>
              <w:widowControl w:val="0"/>
              <w:tabs>
                <w:tab w:val="left" w:pos="180"/>
              </w:tabs>
              <w:suppressAutoHyphens/>
              <w:jc w:val="center"/>
              <w:rPr>
                <w:rFonts w:eastAsia="Lucida Sans Unicode" w:cstheme="minorHAnsi"/>
                <w:b/>
                <w:lang w:eastAsia="pl-PL"/>
              </w:rPr>
            </w:pPr>
          </w:p>
          <w:p w14:paraId="2D9A8E4F" w14:textId="36AB0DDA" w:rsidR="004151B1" w:rsidRDefault="004151B1" w:rsidP="004151B1">
            <w:pPr>
              <w:widowControl w:val="0"/>
              <w:tabs>
                <w:tab w:val="left" w:pos="180"/>
              </w:tabs>
              <w:suppressAutoHyphens/>
              <w:ind w:left="6372"/>
              <w:jc w:val="right"/>
              <w:rPr>
                <w:rFonts w:eastAsia="Lucida Sans Unicode" w:cstheme="minorHAnsi"/>
                <w:b/>
                <w:lang w:eastAsia="pl-PL"/>
              </w:rPr>
            </w:pPr>
            <w:r>
              <w:rPr>
                <w:rFonts w:eastAsia="Lucida Sans Unicode" w:cstheme="minorHAnsi"/>
                <w:b/>
                <w:lang w:eastAsia="pl-PL"/>
              </w:rPr>
              <w:t>…………………………………</w:t>
            </w:r>
          </w:p>
          <w:p w14:paraId="466464BA" w14:textId="7312389F" w:rsidR="004151B1" w:rsidRDefault="004151B1" w:rsidP="004151B1">
            <w:pPr>
              <w:widowControl w:val="0"/>
              <w:tabs>
                <w:tab w:val="left" w:pos="180"/>
              </w:tabs>
              <w:suppressAutoHyphens/>
              <w:ind w:left="6372"/>
              <w:jc w:val="right"/>
              <w:rPr>
                <w:rFonts w:eastAsia="Lucida Sans Unicode" w:cstheme="minorHAnsi"/>
                <w:b/>
                <w:lang w:eastAsia="pl-PL"/>
              </w:rPr>
            </w:pPr>
            <w:r>
              <w:rPr>
                <w:rFonts w:eastAsia="Lucida Sans Unicode" w:cstheme="minorHAnsi"/>
                <w:b/>
                <w:lang w:eastAsia="pl-PL"/>
              </w:rPr>
              <w:t>Podpis oferenta</w:t>
            </w:r>
          </w:p>
          <w:p w14:paraId="3AE8EFFC" w14:textId="0BBD896F" w:rsidR="004151B1" w:rsidRDefault="004151B1">
            <w:pPr>
              <w:widowControl w:val="0"/>
              <w:tabs>
                <w:tab w:val="left" w:pos="180"/>
              </w:tabs>
              <w:suppressAutoHyphens/>
              <w:jc w:val="center"/>
              <w:rPr>
                <w:rFonts w:eastAsia="Lucida Sans Unicode" w:cstheme="minorHAnsi"/>
                <w:b/>
                <w:lang w:eastAsia="ar-SA"/>
              </w:rPr>
            </w:pPr>
          </w:p>
        </w:tc>
        <w:tc>
          <w:tcPr>
            <w:tcW w:w="4605" w:type="dxa"/>
          </w:tcPr>
          <w:p w14:paraId="154B60BB" w14:textId="77777777" w:rsidR="004151B1" w:rsidRDefault="004151B1">
            <w:pPr>
              <w:widowControl w:val="0"/>
              <w:tabs>
                <w:tab w:val="left" w:pos="180"/>
              </w:tabs>
              <w:suppressAutoHyphens/>
              <w:jc w:val="center"/>
              <w:rPr>
                <w:rFonts w:eastAsia="Lucida Sans Unicode" w:cstheme="minorHAnsi"/>
                <w:b/>
                <w:lang w:eastAsia="pl-PL"/>
              </w:rPr>
            </w:pPr>
          </w:p>
          <w:p w14:paraId="07CA92AB" w14:textId="77777777" w:rsidR="004151B1" w:rsidRDefault="004151B1">
            <w:pPr>
              <w:widowControl w:val="0"/>
              <w:tabs>
                <w:tab w:val="left" w:pos="180"/>
              </w:tabs>
              <w:suppressAutoHyphens/>
              <w:jc w:val="center"/>
              <w:rPr>
                <w:rFonts w:eastAsia="Lucida Sans Unicode" w:cstheme="minorHAnsi"/>
                <w:b/>
                <w:lang w:eastAsia="pl-PL"/>
              </w:rPr>
            </w:pPr>
          </w:p>
          <w:p w14:paraId="44BF4B28" w14:textId="24D6E9F6" w:rsidR="004151B1" w:rsidRDefault="004151B1">
            <w:pPr>
              <w:widowControl w:val="0"/>
              <w:tabs>
                <w:tab w:val="left" w:pos="180"/>
              </w:tabs>
              <w:suppressAutoHyphens/>
              <w:jc w:val="center"/>
              <w:rPr>
                <w:rFonts w:eastAsia="Lucida Sans Unicode" w:cstheme="minorHAnsi"/>
                <w:b/>
                <w:lang w:eastAsia="ar-SA"/>
              </w:rPr>
            </w:pPr>
          </w:p>
        </w:tc>
      </w:tr>
    </w:tbl>
    <w:p w14:paraId="0D9DCE9D" w14:textId="77777777" w:rsidR="004151B1" w:rsidRDefault="004151B1" w:rsidP="004151B1">
      <w:pPr>
        <w:rPr>
          <w:rFonts w:cstheme="minorHAnsi"/>
          <w:b/>
        </w:rPr>
      </w:pPr>
    </w:p>
    <w:p w14:paraId="76D86D5B" w14:textId="77777777" w:rsidR="00B6098B" w:rsidRDefault="00B6098B" w:rsidP="004151B1">
      <w:pPr>
        <w:jc w:val="right"/>
        <w:rPr>
          <w:rFonts w:cstheme="minorHAnsi"/>
          <w:b/>
          <w:bCs/>
        </w:rPr>
      </w:pPr>
    </w:p>
    <w:p w14:paraId="7A0C21BE" w14:textId="59784ABF" w:rsidR="004151B1" w:rsidRDefault="004151B1" w:rsidP="004151B1">
      <w:pPr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Załącznik nr 2 do oferty z dnia ……………………….</w:t>
      </w:r>
    </w:p>
    <w:p w14:paraId="3E776584" w14:textId="77777777" w:rsidR="004151B1" w:rsidRDefault="004151B1" w:rsidP="004151B1">
      <w:pPr>
        <w:jc w:val="right"/>
        <w:rPr>
          <w:rFonts w:cstheme="minorHAnsi"/>
        </w:rPr>
      </w:pPr>
    </w:p>
    <w:p w14:paraId="057E5D96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Regulamin wewnętrzny </w:t>
      </w:r>
    </w:p>
    <w:p w14:paraId="5BD8F4CB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lekarzy Kliniki Kardiologii z Intensywnym Nadzorem Kardiologicznym udzielających świadczeń zdrowotnych na podstawie umowy cywilno – prawnej</w:t>
      </w:r>
    </w:p>
    <w:p w14:paraId="2D33FD84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§1</w:t>
      </w:r>
    </w:p>
    <w:p w14:paraId="3E918EC4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Zasady ogólne</w:t>
      </w:r>
    </w:p>
    <w:p w14:paraId="711EB890" w14:textId="668524DC" w:rsidR="004151B1" w:rsidRDefault="004151B1" w:rsidP="004151B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Podstawę do wyliczenia kwoty do podziału za każdy miesiąc obowiązywania umowy na wynagrodzenia należne lekarzom kardiologom udzielającym świadczeń zdrowotnych w normalnej ordynacji oraz podczas dyżurów medycznych stanowi </w:t>
      </w:r>
      <w:r w:rsidR="00464EC0">
        <w:rPr>
          <w:rFonts w:cstheme="minorHAnsi"/>
        </w:rPr>
        <w:t>20</w:t>
      </w:r>
      <w:r>
        <w:rPr>
          <w:rFonts w:cstheme="minorHAnsi"/>
        </w:rPr>
        <w:t>% od kwoty przyznanego ryczałtu na hospitalizację, 50% wartości wykonanych świadczeń (procedur) ambulatoryjnych w tym w ramach KOS i programów lekowych (tylko porada ambulatoryjna) oraz po 1</w:t>
      </w:r>
      <w:r w:rsidR="00464EC0">
        <w:rPr>
          <w:rFonts w:cstheme="minorHAnsi"/>
        </w:rPr>
        <w:t>3</w:t>
      </w:r>
      <w:r>
        <w:rPr>
          <w:rFonts w:cstheme="minorHAnsi"/>
        </w:rPr>
        <w:t xml:space="preserve">% zrealizowanych i sprzedanych do NFZ świadczeń poza ryczałtowych w zakresie KOS – Zawał (tylko w ramach hospitalizacji) i OZW w każdym roku obowiązywania niniejszej umowy. </w:t>
      </w:r>
    </w:p>
    <w:p w14:paraId="429B5177" w14:textId="77777777" w:rsidR="004151B1" w:rsidRDefault="004151B1" w:rsidP="004151B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Do zakresu udzielania świadczeń zdrowotnych przez Klinikę Kardiologii włącza się również działalność Pracowni Elektrofizjologii, Pracowni Hemodynamiki oraz Poradni Kardiologicznej.</w:t>
      </w:r>
    </w:p>
    <w:p w14:paraId="5B912476" w14:textId="77777777" w:rsidR="004151B1" w:rsidRDefault="004151B1" w:rsidP="004151B1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Wynagrodzenie dla personelu medycznego za wykonywanie zabiegów TAVI wymaga odrębnych ustaleń.</w:t>
      </w:r>
    </w:p>
    <w:p w14:paraId="6A30A1B9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§2</w:t>
      </w:r>
    </w:p>
    <w:p w14:paraId="66B934C2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Świadczenia pieniężne</w:t>
      </w:r>
    </w:p>
    <w:p w14:paraId="6A29EEA9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  <w:bCs/>
        </w:rPr>
        <w:t>Wysokość miesięcznego wynagrodzenia dla każdego lekarza Kliniki ustala się na następujących zasadach:</w:t>
      </w:r>
    </w:p>
    <w:p w14:paraId="65B5B0B8" w14:textId="77777777" w:rsidR="004151B1" w:rsidRDefault="004151B1" w:rsidP="004151B1">
      <w:pPr>
        <w:pStyle w:val="Akapitzlist"/>
        <w:numPr>
          <w:ilvl w:val="0"/>
          <w:numId w:val="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każdemu przysługuje stałe ryczałtowe wynagrodzenie w wysokości 15 000,00 zł, </w:t>
      </w:r>
    </w:p>
    <w:p w14:paraId="06496F32" w14:textId="77777777" w:rsidR="004151B1" w:rsidRDefault="004151B1" w:rsidP="004151B1">
      <w:pPr>
        <w:pStyle w:val="Akapitzlist"/>
        <w:numPr>
          <w:ilvl w:val="0"/>
          <w:numId w:val="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wynagrodzenie w związku z realizacją następujących świadczeń:</w:t>
      </w:r>
    </w:p>
    <w:p w14:paraId="4A3B774D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a) prowadzenie odcinków i nadzór nad lekarzami prowadzącymi chorych,</w:t>
      </w:r>
    </w:p>
    <w:p w14:paraId="665CB045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b) prowadzenie pacjentów,</w:t>
      </w:r>
    </w:p>
    <w:p w14:paraId="0CE3251B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c) kierowanie pracowniami w Klinice,</w:t>
      </w:r>
    </w:p>
    <w:p w14:paraId="01132EB7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d) wykonywanie zabiegów inwazyjnych,</w:t>
      </w:r>
    </w:p>
    <w:p w14:paraId="57F3D4E8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e) wykonywanie innych procedur diagnostycznych,</w:t>
      </w:r>
    </w:p>
    <w:p w14:paraId="403BAB7D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f) udzielanie świadczeń w macierzystej poradni specjalistycznej,</w:t>
      </w:r>
    </w:p>
    <w:p w14:paraId="4C2EAC3B" w14:textId="77777777" w:rsidR="004151B1" w:rsidRDefault="004151B1" w:rsidP="004151B1">
      <w:pPr>
        <w:pStyle w:val="Akapitzlist"/>
        <w:spacing w:after="0" w:line="240" w:lineRule="auto"/>
        <w:ind w:left="786"/>
        <w:rPr>
          <w:rFonts w:cstheme="minorHAnsi"/>
        </w:rPr>
      </w:pPr>
      <w:r>
        <w:rPr>
          <w:rFonts w:cstheme="minorHAnsi"/>
        </w:rPr>
        <w:t>g) wykonywanie dodatkowych zadań związanych z funkcjonowaniem Kliniki/ Szpitala, np. praca w zespołach, komitetach, komisjach, itp.,</w:t>
      </w:r>
    </w:p>
    <w:p w14:paraId="35923AC3" w14:textId="6FF4C45C" w:rsidR="004151B1" w:rsidRDefault="004151B1" w:rsidP="004151B1">
      <w:pPr>
        <w:pStyle w:val="Akapitzlist"/>
        <w:numPr>
          <w:ilvl w:val="0"/>
          <w:numId w:val="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dyżury medyczne wg stawki 3 </w:t>
      </w:r>
      <w:r w:rsidR="00464EC0">
        <w:rPr>
          <w:rFonts w:cstheme="minorHAnsi"/>
        </w:rPr>
        <w:t>6</w:t>
      </w:r>
      <w:r>
        <w:rPr>
          <w:rFonts w:cstheme="minorHAnsi"/>
        </w:rPr>
        <w:t>00,00 zł za każdy dyżur.</w:t>
      </w:r>
    </w:p>
    <w:p w14:paraId="45E510D3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Wynagrodzenie określone w pkt 2 ustala dla każdego lekarza indywidualnie Lekarz Kierujący Kliniką.  </w:t>
      </w:r>
    </w:p>
    <w:p w14:paraId="7FC33B27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</w:rPr>
        <w:t>Dla lekarzy Kliniki Kardiologii ustala się system oceny pracy wg zasad określonych w §3, który pełni funkcję pomocniczą przy wyliczeniu wynagrodzenia należnego za dany miesiąc.</w:t>
      </w:r>
    </w:p>
    <w:p w14:paraId="7FC13276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 zakończeniu miesiąca kalendarzowego, lekarz kierujący Kliniką Kardiologii – lub w razie jego nieobecności – zastępca lekarza kierującego Kliniką, z zachowaniem zasad jak poniżej ustala wysokość wynagrodzenia dla poszczególnym lekarzy i w ciągu 3 dni roboczych przedstawia im wysokość wynagrodzenia, będącą podstawą do sporządzenia faktur dla Udzielającego zamówienia.</w:t>
      </w:r>
    </w:p>
    <w:p w14:paraId="31B9DD44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Kwota ogólna miesięcznego wynagrodzenia dla lekarzy Kliniki jest jawna, natomiast wysokość wynagrodzenia dla poszczególnych lekarzy jest niejawna.</w:t>
      </w:r>
      <w:r>
        <w:rPr>
          <w:rFonts w:eastAsia="ヒラギノ角ゴ Pro W3" w:cstheme="minorHAnsi"/>
        </w:rPr>
        <w:t xml:space="preserve"> </w:t>
      </w:r>
    </w:p>
    <w:p w14:paraId="426A520B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eastAsia="ヒラギノ角ゴ Pro W3" w:cstheme="minorHAnsi"/>
        </w:rPr>
        <w:t xml:space="preserve">Na wniosek Udzielającego zamówienia, lekarz kierujący Kliniką </w:t>
      </w:r>
      <w:r>
        <w:rPr>
          <w:rFonts w:eastAsia="Arial" w:cstheme="minorHAnsi"/>
        </w:rPr>
        <w:t xml:space="preserve">zobowiązany jest przedstawić uzasadnienie podziału wynagrodzenia w danym miesiącu, uwzględniając podział na hospitalizację, wykonywania zabiegów inwazyjnych oraz pozostałych procedur diagnostycznych, pełnienie dyżurów medycznych, kierowania pracowniami i pracę w poradni specjalistycznej. </w:t>
      </w:r>
    </w:p>
    <w:p w14:paraId="03DA4FC2" w14:textId="77777777" w:rsidR="004151B1" w:rsidRDefault="004151B1" w:rsidP="004151B1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Za konsultacje specjalistyczne na rzecz pacjentów komórek organizacyjnych Udzielającego zamówienia, wynagrodzenie dodatkowe nie przysługuje.</w:t>
      </w:r>
    </w:p>
    <w:p w14:paraId="69327E32" w14:textId="77777777" w:rsidR="004151B1" w:rsidRDefault="004151B1" w:rsidP="004151B1">
      <w:pPr>
        <w:pStyle w:val="Akapitzlist"/>
        <w:spacing w:after="0" w:line="240" w:lineRule="auto"/>
        <w:ind w:left="0"/>
        <w:jc w:val="center"/>
        <w:rPr>
          <w:rFonts w:cstheme="minorHAnsi"/>
          <w:b/>
        </w:rPr>
      </w:pPr>
      <w:r>
        <w:rPr>
          <w:rFonts w:cstheme="minorHAnsi"/>
          <w:b/>
        </w:rPr>
        <w:t>§3</w:t>
      </w:r>
    </w:p>
    <w:p w14:paraId="51203142" w14:textId="77777777" w:rsidR="004151B1" w:rsidRDefault="004151B1" w:rsidP="004151B1">
      <w:pPr>
        <w:pStyle w:val="Akapitzlist"/>
        <w:spacing w:after="0" w:line="240" w:lineRule="auto"/>
        <w:ind w:left="0"/>
        <w:jc w:val="center"/>
        <w:rPr>
          <w:rFonts w:cstheme="minorHAnsi"/>
          <w:b/>
        </w:rPr>
      </w:pPr>
      <w:r>
        <w:rPr>
          <w:rFonts w:cstheme="minorHAnsi"/>
          <w:b/>
        </w:rPr>
        <w:t>System oceny pracy lekarzy Kliniki Kardiologii</w:t>
      </w:r>
    </w:p>
    <w:p w14:paraId="5B0E9CCC" w14:textId="77777777" w:rsidR="004151B1" w:rsidRDefault="004151B1" w:rsidP="004151B1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W systemie oceny pracy lekarzy niezbędnej do wyliczenia należnego wynagrodzenia będą brane pod uwagę następujące elementy:</w:t>
      </w:r>
    </w:p>
    <w:p w14:paraId="5AA2268F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pełniona w Klinice funkcja oraz posiadane kwalifikacje,</w:t>
      </w:r>
    </w:p>
    <w:p w14:paraId="19AE1DBC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gotowość do udzielania świadczeń zdrowotnych, w tym wykonywanych po godzinach normalnej ordynacji, także w nocy,</w:t>
      </w:r>
    </w:p>
    <w:p w14:paraId="47B76A59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dyspozycyjność,</w:t>
      </w:r>
    </w:p>
    <w:p w14:paraId="6277A2E2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wykonywanie dodatkowych zadań związanych z funkcjonowaniem Kliniki np. praca w zespołach, komitetach, komisjach, itp.,</w:t>
      </w:r>
    </w:p>
    <w:p w14:paraId="22B0AE0A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udzielanie świadczeń w macierzystej poradni specjalistycznej,</w:t>
      </w:r>
    </w:p>
    <w:p w14:paraId="6F118BB9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prowadzenie sal chorych i należyte wywiązywanie się z tego obowiązku,</w:t>
      </w:r>
    </w:p>
    <w:p w14:paraId="0F2A2D19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bieżące prowadzenie dokumentacji medycznej pacjentów,</w:t>
      </w:r>
    </w:p>
    <w:p w14:paraId="6010D958" w14:textId="77777777" w:rsidR="004151B1" w:rsidRDefault="004151B1" w:rsidP="004151B1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postawa etyczna w pracy i umiejętność pracy w zespole. </w:t>
      </w:r>
    </w:p>
    <w:p w14:paraId="016EE6D4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§4</w:t>
      </w:r>
    </w:p>
    <w:p w14:paraId="169A0F09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Rozliczenie ewentualnej kary za uchybienia w prowadzeniu dokumentacji medycznej</w:t>
      </w:r>
    </w:p>
    <w:p w14:paraId="2F3F92B4" w14:textId="1F984266" w:rsidR="004151B1" w:rsidRDefault="004151B1" w:rsidP="004151B1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W razie obciążenia zespołu lekarskiego Klinki karą za zawinione, nieprawidłowe i niezgodne z obowiązującymi przepisami i procedurami prowadzenie dokumentacji medycznej ww., karą będą obciążone osoby, które bezpośrednio przyczyniły do takiego zdarzenia.</w:t>
      </w:r>
    </w:p>
    <w:p w14:paraId="34EBDED7" w14:textId="77777777" w:rsidR="004151B1" w:rsidRDefault="004151B1" w:rsidP="004151B1">
      <w:pPr>
        <w:pStyle w:val="Akapitzlist"/>
        <w:numPr>
          <w:ilvl w:val="0"/>
          <w:numId w:val="9"/>
        </w:numPr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Jeżeli wina nie jest ewidentna – decyzją lekarza kierującego Kliniką, karą obciążeni zostaną proporcjonalnie wszyscy lub cześć lekarzy udzielających świadczeń zdrowotnych na podstawie umowy cywilno – prawnej.</w:t>
      </w:r>
    </w:p>
    <w:p w14:paraId="57D0BF53" w14:textId="77777777" w:rsidR="004151B1" w:rsidRDefault="004151B1" w:rsidP="004151B1">
      <w:pPr>
        <w:pStyle w:val="Akapitzlist"/>
        <w:spacing w:after="0" w:line="240" w:lineRule="auto"/>
        <w:ind w:left="0"/>
        <w:jc w:val="center"/>
        <w:rPr>
          <w:rFonts w:cstheme="minorHAnsi"/>
          <w:b/>
        </w:rPr>
      </w:pPr>
      <w:r>
        <w:rPr>
          <w:rFonts w:cstheme="minorHAnsi"/>
          <w:b/>
        </w:rPr>
        <w:t>§5</w:t>
      </w:r>
    </w:p>
    <w:p w14:paraId="7E48B3D8" w14:textId="77777777" w:rsidR="004151B1" w:rsidRDefault="004151B1" w:rsidP="004151B1">
      <w:pPr>
        <w:jc w:val="center"/>
        <w:rPr>
          <w:rFonts w:cstheme="minorHAnsi"/>
          <w:b/>
        </w:rPr>
      </w:pPr>
      <w:r>
        <w:rPr>
          <w:rFonts w:cstheme="minorHAnsi"/>
          <w:b/>
        </w:rPr>
        <w:t>Dni wolne lekarzy Kliniki Kardiologii</w:t>
      </w:r>
    </w:p>
    <w:p w14:paraId="46286226" w14:textId="77777777" w:rsidR="004151B1" w:rsidRDefault="004151B1" w:rsidP="004151B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 miesiącu, w którym lekarz nie udziela świadczeń zdrowotnych z powodu przerwy, o której mowa w §9 ust. 2 umowy, otrzymuje wynagrodzenie w wysokości 100% wynagrodzenia uzyskanego przez tego lekarza w miesiącu poprzedzającym miesiącu, bez wynagrodzenia za dyżury medyczne.</w:t>
      </w:r>
    </w:p>
    <w:p w14:paraId="164A2F3D" w14:textId="538ABB74" w:rsidR="004151B1" w:rsidRDefault="004151B1" w:rsidP="004151B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Jeżeli lekarz chce skorzystać z dodatkowych dni wolnych ponad limit ustalony w §9 ust. 2 </w:t>
      </w:r>
      <w:proofErr w:type="gramStart"/>
      <w:r>
        <w:rPr>
          <w:rFonts w:cstheme="minorHAnsi"/>
        </w:rPr>
        <w:t>umowy  i</w:t>
      </w:r>
      <w:proofErr w:type="gramEnd"/>
      <w:r>
        <w:rPr>
          <w:rFonts w:cstheme="minorHAnsi"/>
        </w:rPr>
        <w:t xml:space="preserve"> nie uzyska zgody Udzielającego zamówienia na dodatkową przerwę w udzielaniu świadczeń zdrowotnych, za te dni wolne nie otrzymuje wynagrodzenia. W tym czasie może być zobowiązany przez lekarza kierującego Kliniką do zabezpieczenia zastępstwa.</w:t>
      </w:r>
    </w:p>
    <w:p w14:paraId="3702EC0F" w14:textId="7ADEAFEF" w:rsidR="004151B1" w:rsidRDefault="004151B1" w:rsidP="004151B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Wyjazd na zjazd naukowy, kongres, konferencję, sympozjum, kurs zawodowy – zależnie od oceny lekarza kierującego Kliniką i przydatności dla rozwoju Kliniki – może być traktowany jako wyjazd służbowy tj. z prawem do wynagrodzenia w 100% tylko wówczas, gdy Udzielający zamówienia nie pokrywa kosztów związanych z udziałem w zjeździe lub jest kierowany przez Udzielającego zamówienia.  W przypadku innych zjazdów, szkoleń i itp., lekarz Kliniki bierze udział w nich w ramach swoich dni wolnych z prawem do wynagrodzenia i na własny koszt.</w:t>
      </w:r>
    </w:p>
    <w:p w14:paraId="0626DE6F" w14:textId="77777777" w:rsidR="004151B1" w:rsidRDefault="004151B1" w:rsidP="004151B1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1C2FF9C8" w14:textId="77777777" w:rsidR="004151B1" w:rsidRDefault="004151B1" w:rsidP="004151B1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778E1CA2" w14:textId="77777777" w:rsidR="004151B1" w:rsidRDefault="004151B1" w:rsidP="004151B1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21ED6EC9" w14:textId="1FE0FB2C" w:rsidR="004151B1" w:rsidRPr="004151B1" w:rsidRDefault="004151B1" w:rsidP="004151B1">
      <w:pPr>
        <w:pStyle w:val="Akapitzlist"/>
        <w:spacing w:after="0" w:line="240" w:lineRule="auto"/>
        <w:ind w:left="4956"/>
        <w:jc w:val="center"/>
        <w:rPr>
          <w:rFonts w:cstheme="minorHAnsi"/>
          <w:b/>
          <w:bCs/>
        </w:rPr>
      </w:pPr>
      <w:r w:rsidRPr="004151B1">
        <w:rPr>
          <w:rFonts w:cstheme="minorHAnsi"/>
          <w:b/>
          <w:bCs/>
        </w:rPr>
        <w:t>………………………………………</w:t>
      </w:r>
    </w:p>
    <w:p w14:paraId="36088B6A" w14:textId="31E23DD1" w:rsidR="004151B1" w:rsidRPr="004151B1" w:rsidRDefault="004151B1" w:rsidP="004151B1">
      <w:pPr>
        <w:pStyle w:val="Akapitzlist"/>
        <w:spacing w:after="0" w:line="240" w:lineRule="auto"/>
        <w:ind w:left="4956"/>
        <w:jc w:val="center"/>
        <w:rPr>
          <w:rFonts w:cstheme="minorHAnsi"/>
          <w:b/>
          <w:bCs/>
        </w:rPr>
      </w:pPr>
      <w:r w:rsidRPr="004151B1">
        <w:rPr>
          <w:rFonts w:cstheme="minorHAnsi"/>
          <w:b/>
          <w:bCs/>
        </w:rPr>
        <w:t>Podpis oferenta</w:t>
      </w:r>
    </w:p>
    <w:sectPr w:rsidR="004151B1" w:rsidRPr="004151B1" w:rsidSect="00B6098B">
      <w:pgSz w:w="11906" w:h="16838"/>
      <w:pgMar w:top="1077" w:right="1134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DA001" w14:textId="77777777" w:rsidR="005C7C34" w:rsidRDefault="005C7C34" w:rsidP="0089561C">
      <w:r>
        <w:separator/>
      </w:r>
    </w:p>
  </w:endnote>
  <w:endnote w:type="continuationSeparator" w:id="0">
    <w:p w14:paraId="27AE29F1" w14:textId="77777777" w:rsidR="005C7C34" w:rsidRDefault="005C7C34" w:rsidP="0089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AC15D" w14:textId="77777777" w:rsidR="005C7C34" w:rsidRDefault="005C7C34" w:rsidP="0089561C">
      <w:r>
        <w:separator/>
      </w:r>
    </w:p>
  </w:footnote>
  <w:footnote w:type="continuationSeparator" w:id="0">
    <w:p w14:paraId="1AE594C6" w14:textId="77777777" w:rsidR="005C7C34" w:rsidRDefault="005C7C34" w:rsidP="00895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325"/>
    <w:multiLevelType w:val="hybridMultilevel"/>
    <w:tmpl w:val="B276F6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0F">
      <w:start w:val="1"/>
      <w:numFmt w:val="decimal"/>
      <w:lvlText w:val="%6."/>
      <w:lvlJc w:val="lef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D3275"/>
    <w:multiLevelType w:val="hybridMultilevel"/>
    <w:tmpl w:val="66122834"/>
    <w:lvl w:ilvl="0" w:tplc="A77CACD0">
      <w:start w:val="1"/>
      <w:numFmt w:val="decimal"/>
      <w:lvlText w:val="%1."/>
      <w:lvlJc w:val="left"/>
      <w:pPr>
        <w:ind w:left="89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5665B"/>
    <w:multiLevelType w:val="hybridMultilevel"/>
    <w:tmpl w:val="0D4A2642"/>
    <w:lvl w:ilvl="0" w:tplc="2154F4E8">
      <w:start w:val="1"/>
      <w:numFmt w:val="decimal"/>
      <w:lvlText w:val="%1)"/>
      <w:lvlJc w:val="left"/>
      <w:pPr>
        <w:ind w:left="786" w:hanging="360"/>
      </w:pPr>
    </w:lvl>
    <w:lvl w:ilvl="1" w:tplc="C44ABDCE">
      <w:start w:val="1"/>
      <w:numFmt w:val="decimal"/>
      <w:lvlText w:val="%2)"/>
      <w:lvlJc w:val="left"/>
      <w:pPr>
        <w:ind w:left="1506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2753C9"/>
    <w:multiLevelType w:val="hybridMultilevel"/>
    <w:tmpl w:val="3B082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89A"/>
    <w:multiLevelType w:val="hybridMultilevel"/>
    <w:tmpl w:val="D85A8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E165B4"/>
    <w:multiLevelType w:val="hybridMultilevel"/>
    <w:tmpl w:val="F8FA17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C44ABDCE">
      <w:start w:val="1"/>
      <w:numFmt w:val="decimal"/>
      <w:lvlText w:val="%2)"/>
      <w:lvlJc w:val="left"/>
      <w:pPr>
        <w:ind w:left="1506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7CD46C4"/>
    <w:multiLevelType w:val="hybridMultilevel"/>
    <w:tmpl w:val="101AFD12"/>
    <w:lvl w:ilvl="0" w:tplc="04150011">
      <w:start w:val="1"/>
      <w:numFmt w:val="decimal"/>
      <w:lvlText w:val="%1)"/>
      <w:lvlJc w:val="left"/>
      <w:pPr>
        <w:ind w:left="892" w:hanging="360"/>
      </w:pPr>
      <w:rPr>
        <w:b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7A4545"/>
    <w:multiLevelType w:val="hybridMultilevel"/>
    <w:tmpl w:val="02A4BADE"/>
    <w:lvl w:ilvl="0" w:tplc="7660C7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815643"/>
    <w:multiLevelType w:val="hybridMultilevel"/>
    <w:tmpl w:val="38C2ECC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46A81"/>
    <w:multiLevelType w:val="hybridMultilevel"/>
    <w:tmpl w:val="5CE891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255672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9228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59675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16341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95230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87929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0644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62986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16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2934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28E"/>
    <w:rsid w:val="0000240E"/>
    <w:rsid w:val="00007456"/>
    <w:rsid w:val="001474B3"/>
    <w:rsid w:val="001C1322"/>
    <w:rsid w:val="001E702E"/>
    <w:rsid w:val="002028A3"/>
    <w:rsid w:val="00212C14"/>
    <w:rsid w:val="002503A8"/>
    <w:rsid w:val="00283F51"/>
    <w:rsid w:val="002B2C1A"/>
    <w:rsid w:val="0036699E"/>
    <w:rsid w:val="0037458D"/>
    <w:rsid w:val="00390F25"/>
    <w:rsid w:val="003A7745"/>
    <w:rsid w:val="003A7E7F"/>
    <w:rsid w:val="003E3A73"/>
    <w:rsid w:val="004151B1"/>
    <w:rsid w:val="00464EC0"/>
    <w:rsid w:val="0049746E"/>
    <w:rsid w:val="00507395"/>
    <w:rsid w:val="00517EC0"/>
    <w:rsid w:val="005761A2"/>
    <w:rsid w:val="00581979"/>
    <w:rsid w:val="005A08DA"/>
    <w:rsid w:val="005C7C34"/>
    <w:rsid w:val="00621B88"/>
    <w:rsid w:val="006644C4"/>
    <w:rsid w:val="006D6BC4"/>
    <w:rsid w:val="0078375F"/>
    <w:rsid w:val="0087444B"/>
    <w:rsid w:val="0089561C"/>
    <w:rsid w:val="008D4A8F"/>
    <w:rsid w:val="00964303"/>
    <w:rsid w:val="009B4C84"/>
    <w:rsid w:val="00A3239E"/>
    <w:rsid w:val="00AC0D03"/>
    <w:rsid w:val="00B41132"/>
    <w:rsid w:val="00B4395C"/>
    <w:rsid w:val="00B544C8"/>
    <w:rsid w:val="00B6098B"/>
    <w:rsid w:val="00B65665"/>
    <w:rsid w:val="00B9478D"/>
    <w:rsid w:val="00BB14EF"/>
    <w:rsid w:val="00BC086E"/>
    <w:rsid w:val="00BC22E1"/>
    <w:rsid w:val="00C147E1"/>
    <w:rsid w:val="00C84970"/>
    <w:rsid w:val="00CB4DFC"/>
    <w:rsid w:val="00D037A6"/>
    <w:rsid w:val="00D2058D"/>
    <w:rsid w:val="00D34BA6"/>
    <w:rsid w:val="00D623A1"/>
    <w:rsid w:val="00D90C6A"/>
    <w:rsid w:val="00DE128E"/>
    <w:rsid w:val="00EA643D"/>
    <w:rsid w:val="00F2201A"/>
    <w:rsid w:val="00F2669E"/>
    <w:rsid w:val="00F5102F"/>
    <w:rsid w:val="00F5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AB44E"/>
  <w15:chartTrackingRefBased/>
  <w15:docId w15:val="{FEE88A11-6872-E944-9D78-5CF3D7AD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DE128E"/>
  </w:style>
  <w:style w:type="character" w:styleId="Hipercze">
    <w:name w:val="Hyperlink"/>
    <w:basedOn w:val="Domylnaczcionkaakapitu"/>
    <w:uiPriority w:val="99"/>
    <w:semiHidden/>
    <w:unhideWhenUsed/>
    <w:rsid w:val="00DE128E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561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56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561C"/>
    <w:rPr>
      <w:vertAlign w:val="superscript"/>
    </w:rPr>
  </w:style>
  <w:style w:type="character" w:customStyle="1" w:styleId="AkapitzlistZnak">
    <w:name w:val="Akapit z listą Znak"/>
    <w:aliases w:val="maz_wyliczenie Znak,opis dzialania Znak,K-P_odwolanie Znak,A_wyliczenie Znak,Akapit z listą 1 Znak,Bulleted list Znak,Akapit z listą BS Znak,Numerowanie Znak,L1 Znak,Akapit z listą5 Znak,Odstavec Znak,Kolorowa lista — akcent 11 Znak"/>
    <w:link w:val="Akapitzlist"/>
    <w:uiPriority w:val="34"/>
    <w:qFormat/>
    <w:locked/>
    <w:rsid w:val="004151B1"/>
  </w:style>
  <w:style w:type="paragraph" w:styleId="Akapitzlist">
    <w:name w:val="List Paragraph"/>
    <w:aliases w:val="maz_wyliczenie,opis dzialania,K-P_odwolanie,A_wyliczenie,Akapit z listą 1,Bulleted list,Akapit z listą BS,Numerowanie,L1,Akapit z listą5,Odstavec,Kolorowa lista — akcent 11,CW_Lista"/>
    <w:basedOn w:val="Normalny"/>
    <w:link w:val="AkapitzlistZnak"/>
    <w:uiPriority w:val="34"/>
    <w:qFormat/>
    <w:rsid w:val="004151B1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3F1FA2-11F5-476F-8A31-A158289C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1242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Jurgiel</dc:creator>
  <cp:keywords/>
  <dc:description/>
  <cp:lastModifiedBy>Mirosław Siudak</cp:lastModifiedBy>
  <cp:revision>5</cp:revision>
  <cp:lastPrinted>2026-05-07T08:25:00Z</cp:lastPrinted>
  <dcterms:created xsi:type="dcterms:W3CDTF">2026-05-06T12:03:00Z</dcterms:created>
  <dcterms:modified xsi:type="dcterms:W3CDTF">2026-05-11T05:33:00Z</dcterms:modified>
</cp:coreProperties>
</file>